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2/2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Explore theme within a story, characters and use of poetry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Use inference to select grammar.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Link art and literature. Edit writing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Explore a character's thoughts and feelings. Analyse poetry. Investigate language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Focus on the use and effect of language to show a characters feelings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write a set of instructions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Extend understanding of character. write a monologue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Writing task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Jungle Book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Multiplication and 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Fractions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Fractions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Fractions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Life choices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Life choices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Judaism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Advent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Advent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Advent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Mindfulness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Mindfulness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Parliament week</w:t>
            </w:r>
          </w:p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Anti-bullying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color w:val="222222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222222"/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Friendships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in the wider world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History/Geography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Vikings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Vikings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Vikings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Vikings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Vikings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Vikings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Computing Systems and Networks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Computing Systems and Networks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Computing Systems and Networks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Computing Systems and Networks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Swimming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Swimming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Swimming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Swimming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5E 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5E 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Directions and travel including transport.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Going shopping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Going shopping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Going shopping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Going shopping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Going shopping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Choral work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Choral work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Henri Rousseau</w:t>
            </w:r>
          </w:p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MM+1CkOYONHQagWAd6fKwNy6DQ==">AMUW2mUurUYgjzrSsTh7j4aULTwN6iy7idBN7dnuIaVvJSi54N/24YW/Y70H9lCpREL+i4IwpBOo3os0pTwCA6IEgaSSslHbOSNFJpuX7VcOSrgTi2sYhFc=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